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组团单位（盖章）：               团长签名：                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72"/>
        <w:gridCol w:w="5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第1天（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12月3日，周二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国际航班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斯里兰卡航空UL867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离开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前往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海得拉巴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，飞行时长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小时）。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其中，航班在科伦坡中转，不出机场。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因时差原因，当地时间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抵达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海得拉巴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赴</w:t>
            </w:r>
            <w:r>
              <w:rPr>
                <w:rFonts w:ascii="仿宋_GB2312" w:eastAsia="仿宋_GB2312"/>
                <w:sz w:val="32"/>
                <w:szCs w:val="32"/>
              </w:rPr>
              <w:t>印度泰伦加纳</w:t>
            </w:r>
            <w:r>
              <w:rPr>
                <w:rFonts w:hint="eastAsia" w:ascii="仿宋_GB2312" w:eastAsia="仿宋_GB2312"/>
                <w:sz w:val="32"/>
                <w:szCs w:val="32"/>
              </w:rPr>
              <w:t>州</w:t>
            </w:r>
            <w:r>
              <w:rPr>
                <w:rFonts w:ascii="仿宋_GB2312" w:eastAsia="仿宋_GB2312"/>
                <w:sz w:val="32"/>
                <w:szCs w:val="32"/>
              </w:rPr>
              <w:t>海得拉巴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  <w:r>
              <w:rPr>
                <w:rFonts w:ascii="仿宋_GB2312" w:eastAsia="仿宋_GB2312"/>
                <w:sz w:val="32"/>
                <w:szCs w:val="32"/>
              </w:rPr>
              <w:t>ICMR-</w:t>
            </w:r>
            <w:r>
              <w:rPr>
                <w:rFonts w:hint="eastAsia" w:ascii="仿宋_GB2312" w:eastAsia="仿宋_GB2312"/>
                <w:sz w:val="32"/>
                <w:szCs w:val="32"/>
              </w:rPr>
              <w:t>国家营养研究所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，执行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会务报到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第2天（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12月4日，周三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赴</w:t>
            </w:r>
            <w:r>
              <w:rPr>
                <w:rFonts w:ascii="仿宋_GB2312" w:eastAsia="仿宋_GB2312"/>
                <w:sz w:val="32"/>
                <w:szCs w:val="32"/>
              </w:rPr>
              <w:t>印度泰伦加纳</w:t>
            </w:r>
            <w:r>
              <w:rPr>
                <w:rFonts w:hint="eastAsia" w:ascii="仿宋_GB2312" w:eastAsia="仿宋_GB2312"/>
                <w:sz w:val="32"/>
                <w:szCs w:val="32"/>
              </w:rPr>
              <w:t>州</w:t>
            </w:r>
            <w:r>
              <w:rPr>
                <w:rFonts w:ascii="仿宋_GB2312" w:eastAsia="仿宋_GB2312"/>
                <w:sz w:val="32"/>
                <w:szCs w:val="32"/>
              </w:rPr>
              <w:t>海得拉巴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  <w:r>
              <w:rPr>
                <w:rFonts w:ascii="仿宋_GB2312" w:eastAsia="仿宋_GB2312"/>
                <w:sz w:val="32"/>
                <w:szCs w:val="32"/>
              </w:rPr>
              <w:t>ICMR-</w:t>
            </w:r>
            <w:r>
              <w:rPr>
                <w:rFonts w:hint="eastAsia" w:ascii="仿宋_GB2312" w:eastAsia="仿宋_GB2312"/>
                <w:sz w:val="32"/>
                <w:szCs w:val="32"/>
              </w:rPr>
              <w:t>国家营养研究所，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实地参观了解天然产品样品及数据库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赴</w:t>
            </w:r>
            <w:r>
              <w:rPr>
                <w:rFonts w:ascii="仿宋_GB2312" w:eastAsia="仿宋_GB2312"/>
                <w:sz w:val="32"/>
                <w:szCs w:val="32"/>
              </w:rPr>
              <w:t>印度泰伦加纳</w:t>
            </w:r>
            <w:r>
              <w:rPr>
                <w:rFonts w:hint="eastAsia" w:ascii="仿宋_GB2312" w:eastAsia="仿宋_GB2312"/>
                <w:sz w:val="32"/>
                <w:szCs w:val="32"/>
              </w:rPr>
              <w:t>州</w:t>
            </w:r>
            <w:r>
              <w:rPr>
                <w:rFonts w:ascii="仿宋_GB2312" w:eastAsia="仿宋_GB2312"/>
                <w:sz w:val="32"/>
                <w:szCs w:val="32"/>
              </w:rPr>
              <w:t>海得拉巴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  <w:r>
              <w:rPr>
                <w:rFonts w:ascii="仿宋_GB2312" w:eastAsia="仿宋_GB2312"/>
                <w:sz w:val="32"/>
                <w:szCs w:val="32"/>
              </w:rPr>
              <w:t>ICMR-</w:t>
            </w:r>
            <w:r>
              <w:rPr>
                <w:rFonts w:hint="eastAsia" w:ascii="仿宋_GB2312" w:eastAsia="仿宋_GB2312"/>
                <w:sz w:val="32"/>
                <w:szCs w:val="32"/>
              </w:rPr>
              <w:t>国家营养研究所，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实地参观了解天然产品样品及数据库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第3天（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12月5日，周四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议题一：天然产物</w:t>
            </w:r>
          </w:p>
          <w:p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议题二：</w:t>
            </w:r>
            <w:r>
              <w:rPr>
                <w:rFonts w:ascii="仿宋" w:hAnsi="仿宋" w:eastAsia="仿宋"/>
                <w:sz w:val="32"/>
                <w:szCs w:val="32"/>
              </w:rPr>
              <w:t>天然产品和传统药物对健康的影响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议题一：新颖的海产资源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议题二：</w:t>
            </w:r>
            <w:r>
              <w:rPr>
                <w:rFonts w:ascii="仿宋_GB2312" w:eastAsia="仿宋_GB2312"/>
                <w:sz w:val="32"/>
                <w:szCs w:val="32"/>
              </w:rPr>
              <w:t>天然产品和传统药物对健康的影响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壁报交流：（汪宁）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Cerebrospinal Fluid Containing Tongqiao Huoxue Decoction Protects Brain Microvascular Endothelial Cells from Oxygen Glucose Deprivation /Reoxygenation Injury throughVEGF-VEGFR2/FAK/Paxillin Signaling Pathway.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12月6日，周五）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议题一：</w:t>
            </w:r>
            <w:r>
              <w:rPr>
                <w:rFonts w:ascii="仿宋_GB2312" w:eastAsia="仿宋_GB2312"/>
                <w:sz w:val="32"/>
                <w:szCs w:val="32"/>
              </w:rPr>
              <w:t>天然产物和传统药物的代谢组学和分析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壁报交流：（吴鸿飞）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Gandou Decoction decreased copper levels and alleviated hepatic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injury in a rat model of copper-laden hepatolenticular degeneration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议题：</w:t>
            </w:r>
            <w:r>
              <w:rPr>
                <w:rFonts w:ascii="仿宋_GB2312" w:eastAsia="仿宋_GB2312"/>
                <w:sz w:val="32"/>
                <w:szCs w:val="32"/>
              </w:rPr>
              <w:t>天然产物和传统药物的药动学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壁报交流：（贾晓益）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The protective effect of different polar solvent extracts of Er Miao San on rats with adjuvant arthritis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第5天（12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月7日，周</w:t>
            </w:r>
          </w:p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议题：</w:t>
            </w:r>
            <w:r>
              <w:rPr>
                <w:rFonts w:ascii="仿宋_GB2312" w:eastAsia="仿宋_GB2312"/>
                <w:sz w:val="32"/>
                <w:szCs w:val="32"/>
              </w:rPr>
              <w:t>天然产物</w:t>
            </w:r>
            <w:r>
              <w:rPr>
                <w:rFonts w:hint="eastAsia" w:ascii="仿宋_GB2312" w:eastAsia="仿宋_GB2312"/>
                <w:sz w:val="32"/>
                <w:szCs w:val="32"/>
              </w:rPr>
              <w:t>筛选和产业发展</w:t>
            </w:r>
          </w:p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壁报交流：（刘雅蓉）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The Anti-atherosclerotic Effect of Paeonol against STAT3-mediated Inflammatory Response of Endothelial Cells by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Upregulating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LPS Stimulated Monocytes-derived Exosomal MicroRNA-223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生物合成</w:t>
            </w:r>
          </w:p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颁奖及闭幕式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公务对象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安徽中医药大学：汪宁教授、吴鸿飞教授、贾晓益副教授、刘雅蓉博士生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12月8日，周日）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55分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海得拉巴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乘坐航班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印度靛蓝航空6E5012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返回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德里转机，不出机场。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11时55分从德里乘坐航班印度航空AI348返回上海，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06:55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——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20:20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，飞行时长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小时）。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5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抵达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上海浦东机场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A1"/>
    <w:rsid w:val="00122FB9"/>
    <w:rsid w:val="00203132"/>
    <w:rsid w:val="002605C8"/>
    <w:rsid w:val="00421A69"/>
    <w:rsid w:val="004A2CA3"/>
    <w:rsid w:val="007D25BF"/>
    <w:rsid w:val="00912842"/>
    <w:rsid w:val="00A65745"/>
    <w:rsid w:val="00C26C7C"/>
    <w:rsid w:val="00C924B9"/>
    <w:rsid w:val="00D629A1"/>
    <w:rsid w:val="00DE66E0"/>
    <w:rsid w:val="00F2638F"/>
    <w:rsid w:val="1E674194"/>
    <w:rsid w:val="7E0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tg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243</Words>
  <Characters>1387</Characters>
  <Lines>11</Lines>
  <Paragraphs>3</Paragraphs>
  <TotalTime>6</TotalTime>
  <ScaleCrop>false</ScaleCrop>
  <LinksUpToDate>false</LinksUpToDate>
  <CharactersWithSpaces>1627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鸭绒</cp:lastModifiedBy>
  <dcterms:modified xsi:type="dcterms:W3CDTF">2019-10-17T04:24:51Z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